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BBEE" w14:textId="77777777" w:rsidR="006531A6" w:rsidRDefault="006531A6"/>
    <w:p w14:paraId="7F5A8D62" w14:textId="33CD4A98" w:rsidR="00C702AC" w:rsidRPr="002A058A" w:rsidRDefault="00C702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058A">
        <w:rPr>
          <w:rFonts w:ascii="Times New Roman" w:hAnsi="Times New Roman" w:cs="Times New Roman"/>
          <w:b/>
          <w:bCs/>
          <w:sz w:val="28"/>
          <w:szCs w:val="28"/>
        </w:rPr>
        <w:t>Räpina valla 2026.a eelarve lühiülevaade</w:t>
      </w:r>
    </w:p>
    <w:p w14:paraId="1A914228" w14:textId="77777777" w:rsidR="00C702AC" w:rsidRDefault="00C702AC">
      <w:pPr>
        <w:rPr>
          <w:rFonts w:ascii="Times New Roman" w:hAnsi="Times New Roman" w:cs="Times New Roman"/>
        </w:rPr>
      </w:pPr>
    </w:p>
    <w:p w14:paraId="31582F3E" w14:textId="5A798E29" w:rsidR="00510B2B" w:rsidRPr="00510B2B" w:rsidRDefault="00510B2B">
      <w:pPr>
        <w:rPr>
          <w:rFonts w:ascii="Times New Roman" w:hAnsi="Times New Roman" w:cs="Times New Roman"/>
          <w:b/>
          <w:bCs/>
        </w:rPr>
      </w:pPr>
      <w:r w:rsidRPr="00510B2B">
        <w:rPr>
          <w:rFonts w:ascii="Times New Roman" w:hAnsi="Times New Roman" w:cs="Times New Roman"/>
          <w:b/>
          <w:bCs/>
        </w:rPr>
        <w:t>Tulud</w:t>
      </w:r>
    </w:p>
    <w:p w14:paraId="0FB9F283" w14:textId="34F97554" w:rsidR="00C702AC" w:rsidRPr="00903B64" w:rsidRDefault="00903B64">
      <w:pPr>
        <w:rPr>
          <w:rFonts w:ascii="Times New Roman" w:hAnsi="Times New Roman" w:cs="Times New Roman"/>
        </w:rPr>
      </w:pPr>
      <w:r w:rsidRPr="00903B64">
        <w:rPr>
          <w:rFonts w:ascii="Times New Roman" w:hAnsi="Times New Roman" w:cs="Times New Roman"/>
        </w:rPr>
        <w:t>Tuludest</w:t>
      </w:r>
      <w:r w:rsidR="00656E96">
        <w:rPr>
          <w:rFonts w:ascii="Times New Roman" w:hAnsi="Times New Roman" w:cs="Times New Roman"/>
        </w:rPr>
        <w:t xml:space="preserve"> on kõige suurema osatähtsusega füüsilise isiku tulumaksu laekumine</w:t>
      </w:r>
      <w:r w:rsidR="005650AF">
        <w:rPr>
          <w:rFonts w:ascii="Times New Roman" w:hAnsi="Times New Roman" w:cs="Times New Roman"/>
        </w:rPr>
        <w:t xml:space="preserve"> 6 922 240 € (</w:t>
      </w:r>
      <w:r w:rsidR="00B56AD5">
        <w:rPr>
          <w:rFonts w:ascii="Times New Roman" w:hAnsi="Times New Roman" w:cs="Times New Roman"/>
        </w:rPr>
        <w:t xml:space="preserve">57,3 % tuludest), sellele järgnevad </w:t>
      </w:r>
      <w:r w:rsidR="00F31453">
        <w:rPr>
          <w:rFonts w:ascii="Times New Roman" w:hAnsi="Times New Roman" w:cs="Times New Roman"/>
        </w:rPr>
        <w:t>laekumised toetusfondist 2 686 956 € (</w:t>
      </w:r>
      <w:r w:rsidR="005555C4">
        <w:rPr>
          <w:rFonts w:ascii="Times New Roman" w:hAnsi="Times New Roman" w:cs="Times New Roman"/>
        </w:rPr>
        <w:t xml:space="preserve">22,4 %), tasandusfondist </w:t>
      </w:r>
      <w:r w:rsidR="00ED53F2">
        <w:rPr>
          <w:rFonts w:ascii="Times New Roman" w:hAnsi="Times New Roman" w:cs="Times New Roman"/>
        </w:rPr>
        <w:t xml:space="preserve">1 374 664 € (11,38 %), </w:t>
      </w:r>
      <w:r w:rsidR="00812B93">
        <w:rPr>
          <w:rFonts w:ascii="Times New Roman" w:hAnsi="Times New Roman" w:cs="Times New Roman"/>
        </w:rPr>
        <w:t xml:space="preserve">laekumised haridus-, kultuuri-ja spordiasutuste majandustegevusest </w:t>
      </w:r>
      <w:r w:rsidR="00C7446A">
        <w:rPr>
          <w:rFonts w:ascii="Times New Roman" w:hAnsi="Times New Roman" w:cs="Times New Roman"/>
        </w:rPr>
        <w:t xml:space="preserve">390 156 € (3,23%), </w:t>
      </w:r>
      <w:r w:rsidR="00803C3D">
        <w:rPr>
          <w:rFonts w:ascii="Times New Roman" w:hAnsi="Times New Roman" w:cs="Times New Roman"/>
        </w:rPr>
        <w:t xml:space="preserve">maamaks 325 000 € (2,69%), </w:t>
      </w:r>
      <w:r w:rsidR="000C0AFA">
        <w:rPr>
          <w:rFonts w:ascii="Times New Roman" w:hAnsi="Times New Roman" w:cs="Times New Roman"/>
        </w:rPr>
        <w:t xml:space="preserve">sotsiaalasutuste </w:t>
      </w:r>
      <w:r w:rsidR="00B07A16">
        <w:rPr>
          <w:rFonts w:ascii="Times New Roman" w:hAnsi="Times New Roman" w:cs="Times New Roman"/>
        </w:rPr>
        <w:t>majandustegevusest 310 800 € (2,57 %)</w:t>
      </w:r>
      <w:r w:rsidR="00BD00A7">
        <w:rPr>
          <w:rFonts w:ascii="Times New Roman" w:hAnsi="Times New Roman" w:cs="Times New Roman"/>
        </w:rPr>
        <w:t xml:space="preserve"> ja muud laekumised 71 600 € (0,59</w:t>
      </w:r>
      <w:r w:rsidR="00C53D6C">
        <w:rPr>
          <w:rFonts w:ascii="Times New Roman" w:hAnsi="Times New Roman" w:cs="Times New Roman"/>
        </w:rPr>
        <w:t xml:space="preserve"> %). Tulude laekumiseks kokku on kavand</w:t>
      </w:r>
      <w:r w:rsidR="00131063">
        <w:rPr>
          <w:rFonts w:ascii="Times New Roman" w:hAnsi="Times New Roman" w:cs="Times New Roman"/>
        </w:rPr>
        <w:t>atud 12 081 416 €.</w:t>
      </w:r>
      <w:r w:rsidR="000F3D22">
        <w:rPr>
          <w:rFonts w:ascii="Times New Roman" w:hAnsi="Times New Roman" w:cs="Times New Roman"/>
        </w:rPr>
        <w:t xml:space="preserve"> </w:t>
      </w:r>
      <w:r w:rsidR="00D43246">
        <w:rPr>
          <w:rFonts w:ascii="Times New Roman" w:hAnsi="Times New Roman" w:cs="Times New Roman"/>
        </w:rPr>
        <w:t xml:space="preserve">Üksikisiku tulumaksu laekumist </w:t>
      </w:r>
      <w:r w:rsidR="000F3D22">
        <w:rPr>
          <w:rFonts w:ascii="Times New Roman" w:hAnsi="Times New Roman" w:cs="Times New Roman"/>
        </w:rPr>
        <w:t xml:space="preserve"> mõjutab oluliselt elanike arv</w:t>
      </w:r>
      <w:r w:rsidR="00651BDC">
        <w:rPr>
          <w:rFonts w:ascii="Times New Roman" w:hAnsi="Times New Roman" w:cs="Times New Roman"/>
        </w:rPr>
        <w:t xml:space="preserve">, alates 2019.aastast on </w:t>
      </w:r>
      <w:r w:rsidR="00EC5216">
        <w:rPr>
          <w:rFonts w:ascii="Times New Roman" w:hAnsi="Times New Roman" w:cs="Times New Roman"/>
        </w:rPr>
        <w:t xml:space="preserve">tööealiste isikute arv vähenenud 714 inimese võrra ja eakate arv suurenenud </w:t>
      </w:r>
      <w:r w:rsidR="00083B26">
        <w:rPr>
          <w:rFonts w:ascii="Times New Roman" w:hAnsi="Times New Roman" w:cs="Times New Roman"/>
        </w:rPr>
        <w:t>160 võrra. 2025.a augustis oli</w:t>
      </w:r>
      <w:r w:rsidR="00987C68">
        <w:rPr>
          <w:rFonts w:ascii="Times New Roman" w:hAnsi="Times New Roman" w:cs="Times New Roman"/>
        </w:rPr>
        <w:t xml:space="preserve"> palgatulult tulumaksu tasujaid 2517</w:t>
      </w:r>
      <w:r w:rsidR="006A48D1">
        <w:rPr>
          <w:rFonts w:ascii="Times New Roman" w:hAnsi="Times New Roman" w:cs="Times New Roman"/>
        </w:rPr>
        <w:t>, pensionitulu sai samal ajal 1758 inimest.</w:t>
      </w:r>
    </w:p>
    <w:p w14:paraId="1F540923" w14:textId="54414729" w:rsidR="00C702AC" w:rsidRDefault="006B117E">
      <w:pPr>
        <w:rPr>
          <w:noProof/>
        </w:rPr>
      </w:pPr>
      <w:r>
        <w:rPr>
          <w:noProof/>
        </w:rPr>
        <w:drawing>
          <wp:inline distT="0" distB="0" distL="0" distR="0" wp14:anchorId="6753DF3C" wp14:editId="1B348553">
            <wp:extent cx="4572000" cy="2743200"/>
            <wp:effectExtent l="0" t="0" r="0" b="0"/>
            <wp:docPr id="2070715805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37BBBAB1-0A9C-7EE7-7661-EC29AA512F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C7DAAFE" w14:textId="77777777" w:rsidR="00815622" w:rsidRPr="00815622" w:rsidRDefault="00815622" w:rsidP="00815622"/>
    <w:p w14:paraId="3FBEF54E" w14:textId="77777777" w:rsidR="00B538F5" w:rsidRDefault="00B538F5" w:rsidP="00815622">
      <w:pPr>
        <w:rPr>
          <w:b/>
          <w:bCs/>
          <w:noProof/>
        </w:rPr>
      </w:pPr>
    </w:p>
    <w:p w14:paraId="686BE47C" w14:textId="77777777" w:rsidR="00B538F5" w:rsidRDefault="00B538F5" w:rsidP="00815622">
      <w:pPr>
        <w:rPr>
          <w:b/>
          <w:bCs/>
          <w:noProof/>
        </w:rPr>
      </w:pPr>
    </w:p>
    <w:p w14:paraId="64AF19D1" w14:textId="77777777" w:rsidR="00B538F5" w:rsidRDefault="00B538F5" w:rsidP="00815622">
      <w:pPr>
        <w:rPr>
          <w:b/>
          <w:bCs/>
          <w:noProof/>
        </w:rPr>
      </w:pPr>
    </w:p>
    <w:p w14:paraId="07897733" w14:textId="77777777" w:rsidR="00B538F5" w:rsidRDefault="00B538F5" w:rsidP="00815622">
      <w:pPr>
        <w:rPr>
          <w:b/>
          <w:bCs/>
          <w:noProof/>
        </w:rPr>
      </w:pPr>
    </w:p>
    <w:p w14:paraId="5952D427" w14:textId="77777777" w:rsidR="00A33ED2" w:rsidRDefault="00A33ED2" w:rsidP="00815622">
      <w:pPr>
        <w:rPr>
          <w:rFonts w:ascii="Times New Roman" w:hAnsi="Times New Roman" w:cs="Times New Roman"/>
          <w:b/>
          <w:bCs/>
          <w:noProof/>
        </w:rPr>
      </w:pPr>
    </w:p>
    <w:p w14:paraId="2EB2FB2A" w14:textId="77777777" w:rsidR="00A33ED2" w:rsidRDefault="00A33ED2" w:rsidP="00815622">
      <w:pPr>
        <w:rPr>
          <w:rFonts w:ascii="Times New Roman" w:hAnsi="Times New Roman" w:cs="Times New Roman"/>
          <w:b/>
          <w:bCs/>
          <w:noProof/>
        </w:rPr>
      </w:pPr>
    </w:p>
    <w:p w14:paraId="57C9DDC0" w14:textId="77777777" w:rsidR="00A33ED2" w:rsidRDefault="00A33ED2" w:rsidP="00815622">
      <w:pPr>
        <w:rPr>
          <w:rFonts w:ascii="Times New Roman" w:hAnsi="Times New Roman" w:cs="Times New Roman"/>
          <w:b/>
          <w:bCs/>
          <w:noProof/>
        </w:rPr>
      </w:pPr>
    </w:p>
    <w:p w14:paraId="7FC017CF" w14:textId="77777777" w:rsidR="00A33ED2" w:rsidRDefault="00A33ED2" w:rsidP="00815622">
      <w:pPr>
        <w:rPr>
          <w:rFonts w:ascii="Times New Roman" w:hAnsi="Times New Roman" w:cs="Times New Roman"/>
          <w:b/>
          <w:bCs/>
          <w:noProof/>
        </w:rPr>
      </w:pPr>
    </w:p>
    <w:p w14:paraId="1353CA6C" w14:textId="764CEA29" w:rsidR="00815622" w:rsidRPr="00B01FA2" w:rsidRDefault="00510B2B" w:rsidP="00815622">
      <w:pPr>
        <w:rPr>
          <w:rFonts w:ascii="Times New Roman" w:hAnsi="Times New Roman" w:cs="Times New Roman"/>
          <w:b/>
          <w:bCs/>
          <w:noProof/>
        </w:rPr>
      </w:pPr>
      <w:r w:rsidRPr="00B01FA2">
        <w:rPr>
          <w:rFonts w:ascii="Times New Roman" w:hAnsi="Times New Roman" w:cs="Times New Roman"/>
          <w:b/>
          <w:bCs/>
          <w:noProof/>
        </w:rPr>
        <w:lastRenderedPageBreak/>
        <w:t>Kulud</w:t>
      </w:r>
    </w:p>
    <w:p w14:paraId="754E87B4" w14:textId="1BDA72B1" w:rsidR="005D61DE" w:rsidRPr="00B01FA2" w:rsidRDefault="007A0442" w:rsidP="00815622">
      <w:pPr>
        <w:rPr>
          <w:rFonts w:ascii="Times New Roman" w:hAnsi="Times New Roman" w:cs="Times New Roman"/>
          <w:noProof/>
        </w:rPr>
      </w:pPr>
      <w:r w:rsidRPr="00B01FA2">
        <w:rPr>
          <w:rFonts w:ascii="Times New Roman" w:hAnsi="Times New Roman" w:cs="Times New Roman"/>
          <w:noProof/>
        </w:rPr>
        <w:t>Põhitegevuse kuludeks on planeeritud 11 377 940 €.</w:t>
      </w:r>
    </w:p>
    <w:p w14:paraId="30F59ACD" w14:textId="56626E7C" w:rsidR="005D61DE" w:rsidRPr="007A0442" w:rsidRDefault="005D61DE" w:rsidP="00815622">
      <w:pPr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19357765" wp14:editId="4B2D1C4B">
            <wp:extent cx="5760720" cy="3863340"/>
            <wp:effectExtent l="0" t="0" r="11430" b="3810"/>
            <wp:docPr id="1124928298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E05ED5B-7566-39ED-B7BD-9706977754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AE32EE" w14:textId="21DB31DF" w:rsidR="00683D35" w:rsidRPr="00B01FA2" w:rsidRDefault="00321A7C" w:rsidP="00815622">
      <w:pPr>
        <w:tabs>
          <w:tab w:val="left" w:pos="6195"/>
        </w:tabs>
        <w:rPr>
          <w:rFonts w:ascii="Times New Roman" w:hAnsi="Times New Roman" w:cs="Times New Roman"/>
        </w:rPr>
      </w:pPr>
      <w:r w:rsidRPr="00B01FA2">
        <w:rPr>
          <w:rFonts w:ascii="Times New Roman" w:hAnsi="Times New Roman" w:cs="Times New Roman"/>
        </w:rPr>
        <w:t xml:space="preserve">Kulud haridusele moodustavad </w:t>
      </w:r>
      <w:r w:rsidR="00176CC6">
        <w:rPr>
          <w:rFonts w:ascii="Times New Roman" w:hAnsi="Times New Roman" w:cs="Times New Roman"/>
        </w:rPr>
        <w:t xml:space="preserve">ligikaudu </w:t>
      </w:r>
      <w:r w:rsidR="001E1A3B" w:rsidRPr="00B01FA2">
        <w:rPr>
          <w:rFonts w:ascii="Times New Roman" w:hAnsi="Times New Roman" w:cs="Times New Roman"/>
        </w:rPr>
        <w:t xml:space="preserve">poole </w:t>
      </w:r>
      <w:r w:rsidR="0009143E" w:rsidRPr="00B01FA2">
        <w:rPr>
          <w:rFonts w:ascii="Times New Roman" w:hAnsi="Times New Roman" w:cs="Times New Roman"/>
        </w:rPr>
        <w:t>valla põhitegevuse kuludest</w:t>
      </w:r>
      <w:r w:rsidR="004F3EE0">
        <w:rPr>
          <w:rFonts w:ascii="Times New Roman" w:hAnsi="Times New Roman" w:cs="Times New Roman"/>
        </w:rPr>
        <w:t xml:space="preserve">, </w:t>
      </w:r>
      <w:r w:rsidR="00176CC6">
        <w:rPr>
          <w:rFonts w:ascii="Times New Roman" w:hAnsi="Times New Roman" w:cs="Times New Roman"/>
        </w:rPr>
        <w:t>5 665 624 €</w:t>
      </w:r>
      <w:r w:rsidR="0009143E" w:rsidRPr="00B01FA2">
        <w:rPr>
          <w:rFonts w:ascii="Times New Roman" w:hAnsi="Times New Roman" w:cs="Times New Roman"/>
        </w:rPr>
        <w:t>.</w:t>
      </w:r>
    </w:p>
    <w:p w14:paraId="7D854721" w14:textId="2D96C57D" w:rsidR="00815622" w:rsidRPr="00B01FA2" w:rsidRDefault="003777B1" w:rsidP="00815622">
      <w:pPr>
        <w:tabs>
          <w:tab w:val="left" w:pos="6195"/>
        </w:tabs>
        <w:rPr>
          <w:rFonts w:ascii="Times New Roman" w:hAnsi="Times New Roman" w:cs="Times New Roman"/>
        </w:rPr>
      </w:pPr>
      <w:r w:rsidRPr="00B01FA2">
        <w:rPr>
          <w:rFonts w:ascii="Times New Roman" w:hAnsi="Times New Roman" w:cs="Times New Roman"/>
        </w:rPr>
        <w:t xml:space="preserve">Räpina Ühisgümnaasiumi kulud on 2 244 259 €, </w:t>
      </w:r>
      <w:r w:rsidR="00AD77D3" w:rsidRPr="00B01FA2">
        <w:rPr>
          <w:rFonts w:ascii="Times New Roman" w:hAnsi="Times New Roman" w:cs="Times New Roman"/>
        </w:rPr>
        <w:t xml:space="preserve">Viluste Koolil </w:t>
      </w:r>
      <w:r w:rsidR="00815622" w:rsidRPr="00B01FA2">
        <w:rPr>
          <w:rFonts w:ascii="Times New Roman" w:hAnsi="Times New Roman" w:cs="Times New Roman"/>
        </w:rPr>
        <w:tab/>
      </w:r>
      <w:r w:rsidR="00AD77D3" w:rsidRPr="00B01FA2">
        <w:rPr>
          <w:rFonts w:ascii="Times New Roman" w:hAnsi="Times New Roman" w:cs="Times New Roman"/>
        </w:rPr>
        <w:t xml:space="preserve">1 140 999 €, </w:t>
      </w:r>
      <w:r w:rsidR="002F1AE7" w:rsidRPr="00B01FA2">
        <w:rPr>
          <w:rFonts w:ascii="Times New Roman" w:hAnsi="Times New Roman" w:cs="Times New Roman"/>
        </w:rPr>
        <w:t xml:space="preserve">Lasteaed Vikerkaar 1 340 891 €, Räpina Muusikakool </w:t>
      </w:r>
      <w:r w:rsidR="001F4488" w:rsidRPr="00B01FA2">
        <w:rPr>
          <w:rFonts w:ascii="Times New Roman" w:hAnsi="Times New Roman" w:cs="Times New Roman"/>
        </w:rPr>
        <w:t>347 872 €, teiste omavalitsuste laste</w:t>
      </w:r>
      <w:r w:rsidR="00B8015F" w:rsidRPr="00B01FA2">
        <w:rPr>
          <w:rFonts w:ascii="Times New Roman" w:hAnsi="Times New Roman" w:cs="Times New Roman"/>
        </w:rPr>
        <w:t>aiakohtade kasutamise eest tasu 128 000 €</w:t>
      </w:r>
      <w:r w:rsidR="005D0D85" w:rsidRPr="00B01FA2">
        <w:rPr>
          <w:rFonts w:ascii="Times New Roman" w:hAnsi="Times New Roman" w:cs="Times New Roman"/>
        </w:rPr>
        <w:t xml:space="preserve">, teiste omavalitsuste </w:t>
      </w:r>
      <w:r w:rsidR="00562B67" w:rsidRPr="00B01FA2">
        <w:rPr>
          <w:rFonts w:ascii="Times New Roman" w:hAnsi="Times New Roman" w:cs="Times New Roman"/>
        </w:rPr>
        <w:t>üldhariduskoolid 110 226 €</w:t>
      </w:r>
      <w:r w:rsidR="0095049F" w:rsidRPr="00B01FA2">
        <w:rPr>
          <w:rFonts w:ascii="Times New Roman" w:hAnsi="Times New Roman" w:cs="Times New Roman"/>
        </w:rPr>
        <w:t xml:space="preserve"> ja ülejäänud hariduskulud kokku 353 377 </w:t>
      </w:r>
      <w:r w:rsidR="008778C1" w:rsidRPr="00B01FA2">
        <w:rPr>
          <w:rFonts w:ascii="Times New Roman" w:hAnsi="Times New Roman" w:cs="Times New Roman"/>
        </w:rPr>
        <w:t>€.</w:t>
      </w:r>
    </w:p>
    <w:p w14:paraId="0DC046BC" w14:textId="21776E26" w:rsidR="0012503A" w:rsidRDefault="003C6C74" w:rsidP="00815622">
      <w:pPr>
        <w:tabs>
          <w:tab w:val="left" w:pos="6195"/>
        </w:tabs>
        <w:rPr>
          <w:rFonts w:ascii="Times New Roman" w:hAnsi="Times New Roman" w:cs="Times New Roman"/>
        </w:rPr>
      </w:pPr>
      <w:r w:rsidRPr="00B01FA2">
        <w:rPr>
          <w:rFonts w:ascii="Times New Roman" w:hAnsi="Times New Roman" w:cs="Times New Roman"/>
        </w:rPr>
        <w:t>Sotsiaalse kaitse kulud kokku 1 903 956 €</w:t>
      </w:r>
      <w:r w:rsidR="00067DCF" w:rsidRPr="00B01FA2">
        <w:rPr>
          <w:rFonts w:ascii="Times New Roman" w:hAnsi="Times New Roman" w:cs="Times New Roman"/>
        </w:rPr>
        <w:t>, mis on 16,73 % põhitegevuse kuludest.</w:t>
      </w:r>
      <w:r w:rsidR="00293E68" w:rsidRPr="00B01FA2">
        <w:rPr>
          <w:rFonts w:ascii="Times New Roman" w:hAnsi="Times New Roman" w:cs="Times New Roman"/>
        </w:rPr>
        <w:t xml:space="preserve"> Kulud on 226 300 € </w:t>
      </w:r>
      <w:r w:rsidR="009D3232" w:rsidRPr="00B01FA2">
        <w:rPr>
          <w:rFonts w:ascii="Times New Roman" w:hAnsi="Times New Roman" w:cs="Times New Roman"/>
        </w:rPr>
        <w:t xml:space="preserve">koduhoolduseks ja puuetega </w:t>
      </w:r>
      <w:r w:rsidR="00883434" w:rsidRPr="00B01FA2">
        <w:rPr>
          <w:rFonts w:ascii="Times New Roman" w:hAnsi="Times New Roman" w:cs="Times New Roman"/>
        </w:rPr>
        <w:t xml:space="preserve">inimeste hooldajatele toetuse maksmiseks, Leevi </w:t>
      </w:r>
      <w:r w:rsidR="008778C1" w:rsidRPr="00B01FA2">
        <w:rPr>
          <w:rFonts w:ascii="Times New Roman" w:hAnsi="Times New Roman" w:cs="Times New Roman"/>
        </w:rPr>
        <w:t xml:space="preserve">Hooldekodu kulud on </w:t>
      </w:r>
      <w:r w:rsidR="00186990" w:rsidRPr="00B01FA2">
        <w:rPr>
          <w:rFonts w:ascii="Times New Roman" w:hAnsi="Times New Roman" w:cs="Times New Roman"/>
        </w:rPr>
        <w:t>386 106 €, hooldekodu</w:t>
      </w:r>
      <w:r w:rsidR="00822309" w:rsidRPr="00B01FA2">
        <w:rPr>
          <w:rFonts w:ascii="Times New Roman" w:hAnsi="Times New Roman" w:cs="Times New Roman"/>
        </w:rPr>
        <w:t xml:space="preserve"> kohatasude maksmiseks 750 000 €, pensionäride saunapiletite</w:t>
      </w:r>
      <w:r w:rsidR="007638A4" w:rsidRPr="00B01FA2">
        <w:rPr>
          <w:rFonts w:ascii="Times New Roman" w:hAnsi="Times New Roman" w:cs="Times New Roman"/>
        </w:rPr>
        <w:t xml:space="preserve">ks ja </w:t>
      </w:r>
      <w:r w:rsidR="00F63FD4" w:rsidRPr="00B01FA2">
        <w:rPr>
          <w:rFonts w:ascii="Times New Roman" w:hAnsi="Times New Roman" w:cs="Times New Roman"/>
        </w:rPr>
        <w:t xml:space="preserve">vajadusel pensionäride seltsiga seotud kuludeks 7000 €, </w:t>
      </w:r>
      <w:r w:rsidR="002C1294" w:rsidRPr="00B01FA2">
        <w:rPr>
          <w:rFonts w:ascii="Times New Roman" w:hAnsi="Times New Roman" w:cs="Times New Roman"/>
        </w:rPr>
        <w:t xml:space="preserve">asenduskodu teenusteks 330 000 €, sotsiaaltoetusteks 149 550 €, </w:t>
      </w:r>
      <w:r w:rsidR="001E0E01" w:rsidRPr="00B01FA2">
        <w:rPr>
          <w:rFonts w:ascii="Times New Roman" w:hAnsi="Times New Roman" w:cs="Times New Roman"/>
        </w:rPr>
        <w:t xml:space="preserve">sotsiaalkorterite osalisteks kuludes 5 000 €, </w:t>
      </w:r>
      <w:r w:rsidR="00B01FA2" w:rsidRPr="00B01FA2">
        <w:rPr>
          <w:rFonts w:ascii="Times New Roman" w:hAnsi="Times New Roman" w:cs="Times New Roman"/>
        </w:rPr>
        <w:t>toimetulekutoetusteks 50 000 €.</w:t>
      </w:r>
      <w:r w:rsidR="008778C1" w:rsidRPr="00B01FA2">
        <w:rPr>
          <w:rFonts w:ascii="Times New Roman" w:hAnsi="Times New Roman" w:cs="Times New Roman"/>
          <w:vanish/>
        </w:rPr>
        <w:t>HH</w:t>
      </w:r>
    </w:p>
    <w:p w14:paraId="3CB5D41C" w14:textId="7E3CD769" w:rsidR="004161AD" w:rsidRDefault="008039F8" w:rsidP="00815622">
      <w:pPr>
        <w:tabs>
          <w:tab w:val="left" w:pos="61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Üldised valitsussektori teenused</w:t>
      </w:r>
      <w:r w:rsidR="000E7EF4">
        <w:rPr>
          <w:rFonts w:ascii="Times New Roman" w:hAnsi="Times New Roman" w:cs="Times New Roman"/>
        </w:rPr>
        <w:t xml:space="preserve"> kulud on 1 604 898 €, </w:t>
      </w:r>
      <w:r w:rsidR="00CF3CB7">
        <w:rPr>
          <w:rFonts w:ascii="Times New Roman" w:hAnsi="Times New Roman" w:cs="Times New Roman"/>
        </w:rPr>
        <w:t xml:space="preserve">mis moodustavad 14,1 % </w:t>
      </w:r>
      <w:r w:rsidR="00054B07">
        <w:rPr>
          <w:rFonts w:ascii="Times New Roman" w:hAnsi="Times New Roman" w:cs="Times New Roman"/>
        </w:rPr>
        <w:t xml:space="preserve">põhitegevuse kuludest. Kulud jaotuvad </w:t>
      </w:r>
      <w:r w:rsidR="00962FA3">
        <w:rPr>
          <w:rFonts w:ascii="Times New Roman" w:hAnsi="Times New Roman" w:cs="Times New Roman"/>
        </w:rPr>
        <w:t xml:space="preserve">102 128 € vallavolikogu, 1 267 170 € vallavalitsus, 100 000 € reservfond, </w:t>
      </w:r>
      <w:r w:rsidR="00210D45">
        <w:rPr>
          <w:rFonts w:ascii="Times New Roman" w:hAnsi="Times New Roman" w:cs="Times New Roman"/>
        </w:rPr>
        <w:t xml:space="preserve">28 600 € </w:t>
      </w:r>
      <w:r w:rsidR="00524570">
        <w:rPr>
          <w:rFonts w:ascii="Times New Roman" w:hAnsi="Times New Roman" w:cs="Times New Roman"/>
        </w:rPr>
        <w:t>kinnisvarainvesteeringute kulud ja 107 000 €</w:t>
      </w:r>
      <w:r w:rsidR="00E80E1F">
        <w:rPr>
          <w:rFonts w:ascii="Times New Roman" w:hAnsi="Times New Roman" w:cs="Times New Roman"/>
        </w:rPr>
        <w:t xml:space="preserve"> erinevate organisatsioonide liikmemaksudeks.</w:t>
      </w:r>
    </w:p>
    <w:p w14:paraId="2BFE1A06" w14:textId="77777777" w:rsidR="00572A3B" w:rsidRPr="00B01FA2" w:rsidRDefault="00572A3B" w:rsidP="00815622">
      <w:pPr>
        <w:tabs>
          <w:tab w:val="left" w:pos="6195"/>
        </w:tabs>
        <w:rPr>
          <w:rFonts w:ascii="Times New Roman" w:hAnsi="Times New Roman" w:cs="Times New Roman"/>
        </w:rPr>
      </w:pPr>
    </w:p>
    <w:p w14:paraId="395FEF5D" w14:textId="77777777" w:rsidR="008778C1" w:rsidRPr="00B01FA2" w:rsidRDefault="008778C1" w:rsidP="00815622">
      <w:pPr>
        <w:tabs>
          <w:tab w:val="left" w:pos="6195"/>
        </w:tabs>
        <w:rPr>
          <w:rFonts w:ascii="Times New Roman" w:hAnsi="Times New Roman" w:cs="Times New Roman"/>
          <w:vanish/>
        </w:rPr>
      </w:pPr>
    </w:p>
    <w:p w14:paraId="17FF32C3" w14:textId="11CD7E32" w:rsidR="00674C15" w:rsidRDefault="006A3223" w:rsidP="00815622">
      <w:pPr>
        <w:tabs>
          <w:tab w:val="left" w:pos="6195"/>
        </w:tabs>
        <w:rPr>
          <w:rFonts w:ascii="Times New Roman" w:hAnsi="Times New Roman" w:cs="Times New Roman"/>
        </w:rPr>
      </w:pPr>
      <w:r w:rsidRPr="00B01FA2">
        <w:rPr>
          <w:rFonts w:ascii="Times New Roman" w:hAnsi="Times New Roman" w:cs="Times New Roman"/>
        </w:rPr>
        <w:t>Kultuur ja vaba aeg kulud kokku on 1 389 782 €</w:t>
      </w:r>
      <w:r w:rsidR="00384E41" w:rsidRPr="00B01FA2">
        <w:rPr>
          <w:rFonts w:ascii="Times New Roman" w:hAnsi="Times New Roman" w:cs="Times New Roman"/>
        </w:rPr>
        <w:t>, mis moodustavad 12,2 % põhitegevuse kuludest.</w:t>
      </w:r>
      <w:r w:rsidR="007755B3" w:rsidRPr="00B01FA2">
        <w:rPr>
          <w:rFonts w:ascii="Times New Roman" w:hAnsi="Times New Roman" w:cs="Times New Roman"/>
        </w:rPr>
        <w:t xml:space="preserve"> Räpina </w:t>
      </w:r>
      <w:r w:rsidR="00311DED" w:rsidRPr="00B01FA2">
        <w:rPr>
          <w:rFonts w:ascii="Times New Roman" w:hAnsi="Times New Roman" w:cs="Times New Roman"/>
        </w:rPr>
        <w:t xml:space="preserve">Valla </w:t>
      </w:r>
      <w:r w:rsidR="007755B3" w:rsidRPr="00B01FA2">
        <w:rPr>
          <w:rFonts w:ascii="Times New Roman" w:hAnsi="Times New Roman" w:cs="Times New Roman"/>
        </w:rPr>
        <w:t xml:space="preserve">Kultuur kuludeks on </w:t>
      </w:r>
      <w:r w:rsidR="00311DED" w:rsidRPr="00B01FA2">
        <w:rPr>
          <w:rFonts w:ascii="Times New Roman" w:hAnsi="Times New Roman" w:cs="Times New Roman"/>
        </w:rPr>
        <w:t xml:space="preserve">379 575 €, </w:t>
      </w:r>
      <w:r w:rsidR="00293AF9" w:rsidRPr="00B01FA2">
        <w:rPr>
          <w:rFonts w:ascii="Times New Roman" w:hAnsi="Times New Roman" w:cs="Times New Roman"/>
        </w:rPr>
        <w:t xml:space="preserve">Räpina Valla keskraamatukogu </w:t>
      </w:r>
      <w:r w:rsidR="00293AF9" w:rsidRPr="00B01FA2">
        <w:rPr>
          <w:rFonts w:ascii="Times New Roman" w:hAnsi="Times New Roman" w:cs="Times New Roman"/>
        </w:rPr>
        <w:lastRenderedPageBreak/>
        <w:t xml:space="preserve">343 559 €, Räpina Spordikool 216 487 €, </w:t>
      </w:r>
      <w:r w:rsidR="0050679D" w:rsidRPr="00B01FA2">
        <w:rPr>
          <w:rFonts w:ascii="Times New Roman" w:hAnsi="Times New Roman" w:cs="Times New Roman"/>
        </w:rPr>
        <w:t>Räpina Koduloo – ja Aiandusmuuseum 81 841 €</w:t>
      </w:r>
      <w:r w:rsidR="00305C0F" w:rsidRPr="00B01FA2">
        <w:rPr>
          <w:rFonts w:ascii="Times New Roman" w:hAnsi="Times New Roman" w:cs="Times New Roman"/>
        </w:rPr>
        <w:t xml:space="preserve">, </w:t>
      </w:r>
      <w:proofErr w:type="spellStart"/>
      <w:r w:rsidR="00305C0F" w:rsidRPr="00B01FA2">
        <w:rPr>
          <w:rFonts w:ascii="Times New Roman" w:hAnsi="Times New Roman" w:cs="Times New Roman"/>
        </w:rPr>
        <w:t>puhkepargid</w:t>
      </w:r>
      <w:proofErr w:type="spellEnd"/>
      <w:r w:rsidR="00305C0F" w:rsidRPr="00B01FA2">
        <w:rPr>
          <w:rFonts w:ascii="Times New Roman" w:hAnsi="Times New Roman" w:cs="Times New Roman"/>
        </w:rPr>
        <w:t xml:space="preserve"> 20 000 €, </w:t>
      </w:r>
      <w:r w:rsidR="004D7029" w:rsidRPr="00B01FA2">
        <w:rPr>
          <w:rFonts w:ascii="Times New Roman" w:hAnsi="Times New Roman" w:cs="Times New Roman"/>
        </w:rPr>
        <w:t>vaba aja tegevused 45 000, valla ajaleht 19 000.</w:t>
      </w:r>
      <w:r w:rsidR="00206E8E" w:rsidRPr="00B01FA2">
        <w:rPr>
          <w:rFonts w:ascii="Times New Roman" w:hAnsi="Times New Roman" w:cs="Times New Roman"/>
        </w:rPr>
        <w:t xml:space="preserve"> Toetused </w:t>
      </w:r>
      <w:r w:rsidR="00FD36CB" w:rsidRPr="00B01FA2">
        <w:rPr>
          <w:rFonts w:ascii="Times New Roman" w:hAnsi="Times New Roman" w:cs="Times New Roman"/>
        </w:rPr>
        <w:t xml:space="preserve">SA Räpina Inkubatsioonikeskusele 91 320 €, </w:t>
      </w:r>
      <w:r w:rsidR="00D5260E" w:rsidRPr="00B01FA2">
        <w:rPr>
          <w:rFonts w:ascii="Times New Roman" w:hAnsi="Times New Roman" w:cs="Times New Roman"/>
        </w:rPr>
        <w:t xml:space="preserve">SA Räpina Sadamad ja Puhkealad 47 000 €, SA Veriora Noortekas </w:t>
      </w:r>
      <w:r w:rsidR="00723619" w:rsidRPr="00B01FA2">
        <w:rPr>
          <w:rFonts w:ascii="Times New Roman" w:hAnsi="Times New Roman" w:cs="Times New Roman"/>
        </w:rPr>
        <w:t>71 100 €, SA Räpina Kultuurkapital 20 500 €</w:t>
      </w:r>
      <w:r w:rsidR="00305C0F" w:rsidRPr="00B01FA2">
        <w:rPr>
          <w:rFonts w:ascii="Times New Roman" w:hAnsi="Times New Roman" w:cs="Times New Roman"/>
        </w:rPr>
        <w:t>.</w:t>
      </w:r>
      <w:r w:rsidR="00462FD8" w:rsidRPr="00B01FA2">
        <w:rPr>
          <w:rFonts w:ascii="Times New Roman" w:hAnsi="Times New Roman" w:cs="Times New Roman"/>
        </w:rPr>
        <w:t xml:space="preserve"> Muud </w:t>
      </w:r>
      <w:r w:rsidR="0012503A" w:rsidRPr="00B01FA2">
        <w:rPr>
          <w:rFonts w:ascii="Times New Roman" w:hAnsi="Times New Roman" w:cs="Times New Roman"/>
        </w:rPr>
        <w:t>selle valdkonna tegevused 54 400 €.</w:t>
      </w:r>
    </w:p>
    <w:p w14:paraId="22FB631E" w14:textId="2F890C21" w:rsidR="00EE679A" w:rsidRDefault="00EE679A" w:rsidP="00815622">
      <w:pPr>
        <w:tabs>
          <w:tab w:val="left" w:pos="61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Lisaks eelnevale on kavandatud kulud </w:t>
      </w:r>
      <w:r w:rsidR="00F024B4">
        <w:rPr>
          <w:rFonts w:ascii="Times New Roman" w:hAnsi="Times New Roman" w:cs="Times New Roman"/>
        </w:rPr>
        <w:t xml:space="preserve">keskkonnakaitsele 369 000 €, elamu ja kommunaalmajandusele </w:t>
      </w:r>
      <w:r w:rsidR="00973F63">
        <w:rPr>
          <w:rFonts w:ascii="Times New Roman" w:hAnsi="Times New Roman" w:cs="Times New Roman"/>
        </w:rPr>
        <w:t xml:space="preserve">208 000 €, majandusele 200 680 €, </w:t>
      </w:r>
      <w:r w:rsidR="00A57567">
        <w:rPr>
          <w:rFonts w:ascii="Times New Roman" w:hAnsi="Times New Roman" w:cs="Times New Roman"/>
        </w:rPr>
        <w:t>avalik kord ja julgeolek 33 000 €, tervishoid 3 000 €.</w:t>
      </w:r>
    </w:p>
    <w:p w14:paraId="537F3660" w14:textId="77777777" w:rsidR="00F1118F" w:rsidRDefault="00F1118F" w:rsidP="00815622">
      <w:pPr>
        <w:tabs>
          <w:tab w:val="left" w:pos="6195"/>
        </w:tabs>
        <w:rPr>
          <w:rFonts w:ascii="Times New Roman" w:hAnsi="Times New Roman" w:cs="Times New Roman"/>
        </w:rPr>
      </w:pPr>
    </w:p>
    <w:p w14:paraId="3F00F230" w14:textId="722DB2D5" w:rsidR="00F1118F" w:rsidRDefault="00F1118F" w:rsidP="00815622">
      <w:pPr>
        <w:tabs>
          <w:tab w:val="left" w:pos="6195"/>
        </w:tabs>
        <w:rPr>
          <w:rFonts w:ascii="Times New Roman" w:hAnsi="Times New Roman" w:cs="Times New Roman"/>
          <w:b/>
          <w:bCs/>
        </w:rPr>
      </w:pPr>
      <w:r w:rsidRPr="00F1118F">
        <w:rPr>
          <w:rFonts w:ascii="Times New Roman" w:hAnsi="Times New Roman" w:cs="Times New Roman"/>
          <w:b/>
          <w:bCs/>
        </w:rPr>
        <w:t>Investeerimistegevus.</w:t>
      </w:r>
    </w:p>
    <w:p w14:paraId="74FE3696" w14:textId="77777777" w:rsidR="00395114" w:rsidRPr="008F36C5" w:rsidRDefault="00395114" w:rsidP="00395114">
      <w:pPr>
        <w:pStyle w:val="Kehatekst"/>
        <w:jc w:val="center"/>
        <w:rPr>
          <w:b/>
          <w:bCs/>
        </w:rPr>
      </w:pPr>
    </w:p>
    <w:p w14:paraId="5780FD1F" w14:textId="77777777" w:rsidR="00395114" w:rsidRPr="008F36C5" w:rsidRDefault="00395114" w:rsidP="00395114">
      <w:pPr>
        <w:pStyle w:val="Kehatekst"/>
        <w:jc w:val="left"/>
        <w:rPr>
          <w:bCs/>
        </w:rPr>
      </w:pPr>
      <w:r w:rsidRPr="008F36C5">
        <w:rPr>
          <w:bCs/>
        </w:rPr>
        <w:t xml:space="preserve">  </w:t>
      </w:r>
    </w:p>
    <w:p w14:paraId="0A7B6602" w14:textId="77777777" w:rsidR="00395114" w:rsidRPr="005D3067" w:rsidRDefault="00395114" w:rsidP="00395114">
      <w:pPr>
        <w:pStyle w:val="Kehatekst"/>
        <w:jc w:val="left"/>
      </w:pPr>
      <w:r w:rsidRPr="005D3067">
        <w:t>Investeerimistegevuse kulud</w:t>
      </w:r>
    </w:p>
    <w:p w14:paraId="6D3593A3" w14:textId="22233995" w:rsidR="00395114" w:rsidRPr="005D3067" w:rsidRDefault="00395114" w:rsidP="00395114">
      <w:pPr>
        <w:pStyle w:val="Kehatekst"/>
        <w:jc w:val="left"/>
      </w:pPr>
      <w:r w:rsidRPr="005D3067">
        <w:tab/>
      </w:r>
      <w:r w:rsidRPr="005D3067">
        <w:tab/>
      </w:r>
      <w:r w:rsidRPr="005D3067">
        <w:tab/>
      </w:r>
      <w:r w:rsidRPr="005D3067">
        <w:tab/>
      </w:r>
      <w:r w:rsidRPr="005D3067">
        <w:tab/>
      </w:r>
      <w:r w:rsidRPr="005D3067">
        <w:tab/>
      </w:r>
      <w:r w:rsidRPr="005D3067">
        <w:tab/>
      </w:r>
      <w:r w:rsidRPr="005D3067">
        <w:tab/>
      </w:r>
      <w:r w:rsidR="00FE0ECB" w:rsidRPr="005D3067">
        <w:t>eurodes</w:t>
      </w:r>
    </w:p>
    <w:tbl>
      <w:tblPr>
        <w:tblW w:w="7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5"/>
        <w:gridCol w:w="1719"/>
      </w:tblGrid>
      <w:tr w:rsidR="00395114" w:rsidRPr="008F36C5" w14:paraId="1CFFCE6F" w14:textId="77777777" w:rsidTr="00566E9C">
        <w:trPr>
          <w:trHeight w:val="311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502BD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Räpina Sadama juurdepääsutee 239 050 €, sh toetus 239 050 € ja OF 12 000 €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E659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251 050</w:t>
            </w:r>
          </w:p>
        </w:tc>
      </w:tr>
      <w:tr w:rsidR="00395114" w:rsidRPr="008F36C5" w14:paraId="4DB24E76" w14:textId="77777777" w:rsidTr="00566E9C">
        <w:trPr>
          <w:trHeight w:val="623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F3398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Räpina Sadama 2 majutushoonet, 127 224 €, sh toetus 127 224 €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1BB2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127 224</w:t>
            </w:r>
          </w:p>
        </w:tc>
      </w:tr>
      <w:tr w:rsidR="00395114" w:rsidRPr="008F36C5" w14:paraId="7CC33C0E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D3B1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36C5">
              <w:rPr>
                <w:rFonts w:ascii="Times New Roman" w:hAnsi="Times New Roman" w:cs="Times New Roman"/>
                <w:color w:val="000000"/>
              </w:rPr>
              <w:t>Võõpsu</w:t>
            </w:r>
            <w:proofErr w:type="spellEnd"/>
            <w:r w:rsidRPr="008F36C5">
              <w:rPr>
                <w:rFonts w:ascii="Times New Roman" w:hAnsi="Times New Roman" w:cs="Times New Roman"/>
                <w:color w:val="000000"/>
              </w:rPr>
              <w:t xml:space="preserve"> raamatukogu, toetus 24 500 € </w:t>
            </w:r>
            <w:r w:rsidRPr="008F36C5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8F36C5">
              <w:rPr>
                <w:rFonts w:ascii="Times New Roman" w:hAnsi="Times New Roman" w:cs="Times New Roman"/>
                <w:color w:val="000000"/>
              </w:rPr>
              <w:t xml:space="preserve"> laekus 2024.a, OF 25 500 €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0A70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50 000</w:t>
            </w:r>
          </w:p>
        </w:tc>
      </w:tr>
      <w:tr w:rsidR="00395114" w:rsidRPr="008F36C5" w14:paraId="09F8EB1C" w14:textId="77777777" w:rsidTr="00566E9C">
        <w:trPr>
          <w:trHeight w:val="623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3EF54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Räpina mõisa peahoone lõunapoolse katuseosa restaureerimine (I etapp) 139 400 €, sh toetus 100 000 € ja omafinantseering 39 400 €</w:t>
            </w:r>
          </w:p>
          <w:p w14:paraId="0B61484E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8332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139 400</w:t>
            </w:r>
          </w:p>
        </w:tc>
      </w:tr>
      <w:tr w:rsidR="00395114" w:rsidRPr="008F36C5" w14:paraId="61156413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051C3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 xml:space="preserve">Metsavendade mälestuskivi, toetus laekus 2023.a  </w:t>
            </w:r>
            <w:r w:rsidRPr="008F36C5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D6F58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30 000</w:t>
            </w:r>
          </w:p>
        </w:tc>
      </w:tr>
      <w:tr w:rsidR="00395114" w:rsidRPr="008F36C5" w14:paraId="5EA1274F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1654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Teede rekonstrueerimine 166 000 € OF, sh Veriora raudtee ülesõidu jalgtee nõutele vastavaks viimine 13000 € ja Köstrimäe Tooste teele truup 13000 €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5DCB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166 000</w:t>
            </w:r>
          </w:p>
        </w:tc>
      </w:tr>
      <w:tr w:rsidR="00395114" w:rsidRPr="008F36C5" w14:paraId="67C530ED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DF77C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Ruusa Kultuurimaja 20 000 € OF</w:t>
            </w:r>
          </w:p>
          <w:p w14:paraId="00BC3E92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1771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20 000</w:t>
            </w:r>
          </w:p>
        </w:tc>
      </w:tr>
      <w:tr w:rsidR="00395114" w:rsidRPr="008F36C5" w14:paraId="7225A910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2E877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Leevi Hooldekodu köök 25 000 € OF</w:t>
            </w:r>
          </w:p>
          <w:p w14:paraId="0BCCD415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DB9B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25 000</w:t>
            </w:r>
          </w:p>
        </w:tc>
      </w:tr>
      <w:tr w:rsidR="00395114" w:rsidRPr="008F36C5" w14:paraId="3D40BB3B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D043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Jäätmejaamad, kokku 170 000 €, sh toetus 150 000 € ja OF  20 000 €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96126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170 000</w:t>
            </w:r>
          </w:p>
        </w:tc>
      </w:tr>
      <w:tr w:rsidR="00395114" w:rsidRPr="008F36C5" w14:paraId="72D4FAAD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BAAC2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 xml:space="preserve">Räpina hooliv keskus – kodus elamist toetavate teenuste arendamine (Veriora teenuskeskus, investeeringud ja </w:t>
            </w:r>
            <w:r w:rsidRPr="008F36C5">
              <w:rPr>
                <w:rFonts w:ascii="Times New Roman" w:hAnsi="Times New Roman" w:cs="Times New Roman"/>
                <w:color w:val="000000"/>
              </w:rPr>
              <w:lastRenderedPageBreak/>
              <w:t xml:space="preserve">pehmed tegevused) kokku 402 543 €, sh toetus 350 288 € ja OF  52 255€.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DD00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lastRenderedPageBreak/>
              <w:t xml:space="preserve">402 543 </w:t>
            </w:r>
          </w:p>
        </w:tc>
      </w:tr>
      <w:tr w:rsidR="00395114" w:rsidRPr="008F36C5" w14:paraId="7B01B4EE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1A918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Kalmistud 40 000 €, sh 30 000 toetus ja 10 000€ OF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ED70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40 000</w:t>
            </w:r>
          </w:p>
        </w:tc>
      </w:tr>
      <w:tr w:rsidR="00395114" w:rsidRPr="008F36C5" w14:paraId="59C68B22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0719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Räpina paisjärve supluskoha arendamine (ujumissild, inva riietuskabiin, hoiukuur) Toetus  5 198 € ja          OF 24 581 €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80EA4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29 770</w:t>
            </w:r>
          </w:p>
        </w:tc>
      </w:tr>
      <w:tr w:rsidR="00395114" w:rsidRPr="008F36C5" w14:paraId="569EA993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48439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Veriora sauna katuse vahetamine, OF 30 000 €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559F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36C5">
              <w:rPr>
                <w:rFonts w:ascii="Times New Roman" w:hAnsi="Times New Roman" w:cs="Times New Roman"/>
                <w:color w:val="000000"/>
              </w:rPr>
              <w:t>30 000</w:t>
            </w:r>
          </w:p>
        </w:tc>
      </w:tr>
      <w:tr w:rsidR="00395114" w:rsidRPr="008F36C5" w14:paraId="4AED1D9B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C4D10" w14:textId="77777777" w:rsidR="00395114" w:rsidRPr="008F36C5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2025.a eelarvest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ületoodav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objekt Meeksi mnt rekonstrueerimine 360 596 €, sh toetus 312 061 € ja OF 48 535 €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1E6D" w14:textId="77777777" w:rsidR="00395114" w:rsidRPr="008F36C5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41EC">
              <w:rPr>
                <w:rFonts w:ascii="Times New Roman" w:hAnsi="Times New Roman" w:cs="Times New Roman"/>
                <w:color w:val="000000"/>
              </w:rPr>
              <w:t>360 596</w:t>
            </w:r>
          </w:p>
        </w:tc>
      </w:tr>
      <w:tr w:rsidR="00395114" w:rsidRPr="008F36C5" w14:paraId="585C4CE3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58D44" w14:textId="77777777" w:rsidR="00395114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2025.a eelarvest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ületoodav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objekt AS Põlva Vesi aktsiate ost,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Võõpsu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aleviku veemajandusprojekt    OF  139 992 €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27E5" w14:textId="77777777" w:rsidR="00395114" w:rsidRPr="00DA6050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F41EC">
              <w:rPr>
                <w:rFonts w:ascii="Times New Roman" w:hAnsi="Times New Roman" w:cs="Times New Roman"/>
                <w:color w:val="000000"/>
              </w:rPr>
              <w:t xml:space="preserve">139 992 </w:t>
            </w:r>
          </w:p>
        </w:tc>
      </w:tr>
      <w:tr w:rsidR="00395114" w:rsidRPr="008F36C5" w14:paraId="696AF104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E925B" w14:textId="77777777" w:rsidR="00395114" w:rsidRDefault="00395114" w:rsidP="00F473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2025.a eelarvest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ületoodav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objekt lasteaed Vikerkaar basseini ja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õueala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rekonstrueerimine 47 638 €, sh toetus 32 069 €  ja OF 15 569 €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18A7F" w14:textId="77777777" w:rsidR="00395114" w:rsidRDefault="00395114" w:rsidP="00F473D2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47 638</w:t>
            </w:r>
            <w:r w:rsidRPr="001F41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95114" w:rsidRPr="008F36C5" w14:paraId="2D38FBFE" w14:textId="77777777" w:rsidTr="00566E9C">
        <w:trPr>
          <w:trHeight w:val="311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2036" w14:textId="77777777" w:rsidR="00395114" w:rsidRPr="008F36C5" w:rsidRDefault="00395114" w:rsidP="00F473D2">
            <w:pPr>
              <w:rPr>
                <w:rFonts w:ascii="Times New Roman" w:hAnsi="Times New Roman" w:cs="Times New Roman"/>
              </w:rPr>
            </w:pPr>
          </w:p>
          <w:p w14:paraId="3D025C2F" w14:textId="77777777" w:rsidR="00395114" w:rsidRPr="008F36C5" w:rsidRDefault="00395114" w:rsidP="00236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4B85" w14:textId="77777777" w:rsidR="00395114" w:rsidRPr="008F36C5" w:rsidRDefault="00395114" w:rsidP="00F473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B2AC6E" w14:textId="77777777" w:rsidR="00566E9C" w:rsidRDefault="00395114" w:rsidP="00395114">
      <w:pPr>
        <w:rPr>
          <w:rFonts w:ascii="Times New Roman" w:hAnsi="Times New Roman" w:cs="Times New Roman"/>
        </w:rPr>
      </w:pPr>
      <w:r w:rsidRPr="008F36C5">
        <w:rPr>
          <w:rFonts w:ascii="Times New Roman" w:hAnsi="Times New Roman" w:cs="Times New Roman"/>
        </w:rPr>
        <w:t xml:space="preserve"> </w:t>
      </w:r>
    </w:p>
    <w:p w14:paraId="425CD8B3" w14:textId="77777777" w:rsidR="00566E9C" w:rsidRDefault="00566E9C" w:rsidP="00395114">
      <w:pPr>
        <w:rPr>
          <w:rFonts w:ascii="Times New Roman" w:hAnsi="Times New Roman" w:cs="Times New Roman"/>
        </w:rPr>
      </w:pPr>
    </w:p>
    <w:p w14:paraId="7E280E78" w14:textId="348DE37C" w:rsidR="00395114" w:rsidRDefault="00395114" w:rsidP="00395114">
      <w:pPr>
        <w:rPr>
          <w:rFonts w:ascii="Times New Roman" w:hAnsi="Times New Roman" w:cs="Times New Roman"/>
        </w:rPr>
      </w:pPr>
      <w:r w:rsidRPr="008F36C5">
        <w:rPr>
          <w:rFonts w:ascii="Times New Roman" w:hAnsi="Times New Roman" w:cs="Times New Roman"/>
        </w:rPr>
        <w:t xml:space="preserve">Toetuste arvelt planeeritakse kulutusi </w:t>
      </w:r>
      <w:r w:rsidR="00FA06B0">
        <w:rPr>
          <w:rFonts w:ascii="Times New Roman" w:hAnsi="Times New Roman" w:cs="Times New Roman"/>
        </w:rPr>
        <w:t>1 345 882</w:t>
      </w:r>
      <w:r w:rsidRPr="008F36C5">
        <w:rPr>
          <w:rFonts w:ascii="Times New Roman" w:hAnsi="Times New Roman" w:cs="Times New Roman"/>
        </w:rPr>
        <w:t xml:space="preserve"> € ja omafinantseeringuna </w:t>
      </w:r>
      <w:r w:rsidR="00244DC1">
        <w:rPr>
          <w:rFonts w:ascii="Times New Roman" w:hAnsi="Times New Roman" w:cs="Times New Roman"/>
        </w:rPr>
        <w:t>488 839</w:t>
      </w:r>
      <w:r w:rsidRPr="008F36C5">
        <w:rPr>
          <w:rFonts w:ascii="Times New Roman" w:hAnsi="Times New Roman" w:cs="Times New Roman"/>
        </w:rPr>
        <w:t xml:space="preserve"> €, sh toetusest on varasemalt laekunud 54 500 € ning seda tuludes ei kajastata</w:t>
      </w:r>
      <w:r w:rsidRPr="008F36C5">
        <w:rPr>
          <w:rFonts w:ascii="Times New Roman" w:hAnsi="Times New Roman" w:cs="Times New Roman"/>
          <w:i/>
          <w:iCs/>
        </w:rPr>
        <w:t>.</w:t>
      </w:r>
    </w:p>
    <w:p w14:paraId="2196C62E" w14:textId="255F2263" w:rsidR="005E6EFD" w:rsidRPr="005E6EFD" w:rsidRDefault="009F05B9" w:rsidP="003951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Laenu on lubatud võtta kuni 300 000 €. </w:t>
      </w:r>
      <w:r w:rsidR="00896DC5">
        <w:rPr>
          <w:rFonts w:ascii="Times New Roman" w:hAnsi="Times New Roman" w:cs="Times New Roman"/>
        </w:rPr>
        <w:t xml:space="preserve">Olemasolevate laenude tagasimaksmiseks on arvestatud 827 448 €, </w:t>
      </w:r>
      <w:r w:rsidR="000C3D0B">
        <w:rPr>
          <w:rFonts w:ascii="Times New Roman" w:hAnsi="Times New Roman" w:cs="Times New Roman"/>
        </w:rPr>
        <w:t>intressikulude</w:t>
      </w:r>
      <w:r w:rsidR="00D97DE1">
        <w:rPr>
          <w:rFonts w:ascii="Times New Roman" w:hAnsi="Times New Roman" w:cs="Times New Roman"/>
        </w:rPr>
        <w:t>k</w:t>
      </w:r>
      <w:r w:rsidR="000C3D0B">
        <w:rPr>
          <w:rFonts w:ascii="Times New Roman" w:hAnsi="Times New Roman" w:cs="Times New Roman"/>
        </w:rPr>
        <w:t>s 137 145 €.</w:t>
      </w:r>
    </w:p>
    <w:p w14:paraId="0A6C4C8A" w14:textId="77777777" w:rsidR="00DA703F" w:rsidRPr="00F1118F" w:rsidRDefault="00DA703F" w:rsidP="00815622">
      <w:pPr>
        <w:tabs>
          <w:tab w:val="left" w:pos="6195"/>
        </w:tabs>
        <w:rPr>
          <w:rFonts w:ascii="Times New Roman" w:hAnsi="Times New Roman" w:cs="Times New Roman"/>
        </w:rPr>
      </w:pPr>
    </w:p>
    <w:sectPr w:rsidR="00DA703F" w:rsidRPr="00F1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AC"/>
    <w:rsid w:val="00054B07"/>
    <w:rsid w:val="00067DCF"/>
    <w:rsid w:val="00083B26"/>
    <w:rsid w:val="0009143E"/>
    <w:rsid w:val="000C0AFA"/>
    <w:rsid w:val="000C3D0B"/>
    <w:rsid w:val="000E7EF4"/>
    <w:rsid w:val="000F3D22"/>
    <w:rsid w:val="00111361"/>
    <w:rsid w:val="0012503A"/>
    <w:rsid w:val="00131063"/>
    <w:rsid w:val="001615B5"/>
    <w:rsid w:val="001617D1"/>
    <w:rsid w:val="00176CC6"/>
    <w:rsid w:val="00186990"/>
    <w:rsid w:val="001A7B8E"/>
    <w:rsid w:val="001E0E01"/>
    <w:rsid w:val="001E1A3B"/>
    <w:rsid w:val="001F38B2"/>
    <w:rsid w:val="001F4488"/>
    <w:rsid w:val="00206E8E"/>
    <w:rsid w:val="00210D45"/>
    <w:rsid w:val="00236D75"/>
    <w:rsid w:val="00244DC1"/>
    <w:rsid w:val="00293AF9"/>
    <w:rsid w:val="00293E68"/>
    <w:rsid w:val="002A058A"/>
    <w:rsid w:val="002C1294"/>
    <w:rsid w:val="002F0618"/>
    <w:rsid w:val="002F1AE7"/>
    <w:rsid w:val="00305C0F"/>
    <w:rsid w:val="00306947"/>
    <w:rsid w:val="00311DED"/>
    <w:rsid w:val="00321A7C"/>
    <w:rsid w:val="00356242"/>
    <w:rsid w:val="003777B1"/>
    <w:rsid w:val="00384E41"/>
    <w:rsid w:val="00395114"/>
    <w:rsid w:val="003C2060"/>
    <w:rsid w:val="003C6C74"/>
    <w:rsid w:val="004161AD"/>
    <w:rsid w:val="00462FD8"/>
    <w:rsid w:val="004A39FD"/>
    <w:rsid w:val="004C3BE9"/>
    <w:rsid w:val="004D7029"/>
    <w:rsid w:val="004F3EE0"/>
    <w:rsid w:val="0050679D"/>
    <w:rsid w:val="00510B2B"/>
    <w:rsid w:val="00515F36"/>
    <w:rsid w:val="00524570"/>
    <w:rsid w:val="005555C4"/>
    <w:rsid w:val="00562B67"/>
    <w:rsid w:val="005650AF"/>
    <w:rsid w:val="00566E9C"/>
    <w:rsid w:val="00572A3B"/>
    <w:rsid w:val="00575375"/>
    <w:rsid w:val="0057638F"/>
    <w:rsid w:val="005A43CF"/>
    <w:rsid w:val="005D0D85"/>
    <w:rsid w:val="005D3067"/>
    <w:rsid w:val="005D61DE"/>
    <w:rsid w:val="005E6EFD"/>
    <w:rsid w:val="00620646"/>
    <w:rsid w:val="00651BDC"/>
    <w:rsid w:val="006531A6"/>
    <w:rsid w:val="00656E96"/>
    <w:rsid w:val="0066794E"/>
    <w:rsid w:val="00674C15"/>
    <w:rsid w:val="00683D35"/>
    <w:rsid w:val="006A3223"/>
    <w:rsid w:val="006A48D1"/>
    <w:rsid w:val="006B117E"/>
    <w:rsid w:val="00723619"/>
    <w:rsid w:val="007638A4"/>
    <w:rsid w:val="007755B3"/>
    <w:rsid w:val="007A0442"/>
    <w:rsid w:val="007E7AC9"/>
    <w:rsid w:val="008039F8"/>
    <w:rsid w:val="00803C3D"/>
    <w:rsid w:val="00812B93"/>
    <w:rsid w:val="00815622"/>
    <w:rsid w:val="00822309"/>
    <w:rsid w:val="008253F7"/>
    <w:rsid w:val="00873315"/>
    <w:rsid w:val="008778C1"/>
    <w:rsid w:val="00883434"/>
    <w:rsid w:val="00896DC5"/>
    <w:rsid w:val="00903B64"/>
    <w:rsid w:val="00935943"/>
    <w:rsid w:val="0095049F"/>
    <w:rsid w:val="00962FA3"/>
    <w:rsid w:val="00973F63"/>
    <w:rsid w:val="00987C68"/>
    <w:rsid w:val="009D3232"/>
    <w:rsid w:val="009E09C4"/>
    <w:rsid w:val="009F05B9"/>
    <w:rsid w:val="00A33ED2"/>
    <w:rsid w:val="00A57567"/>
    <w:rsid w:val="00AD77D3"/>
    <w:rsid w:val="00AE288E"/>
    <w:rsid w:val="00B01FA2"/>
    <w:rsid w:val="00B03C16"/>
    <w:rsid w:val="00B07A16"/>
    <w:rsid w:val="00B33286"/>
    <w:rsid w:val="00B537F7"/>
    <w:rsid w:val="00B538F5"/>
    <w:rsid w:val="00B56AD5"/>
    <w:rsid w:val="00B8015F"/>
    <w:rsid w:val="00B93934"/>
    <w:rsid w:val="00BB38C8"/>
    <w:rsid w:val="00BD00A7"/>
    <w:rsid w:val="00BF1F4C"/>
    <w:rsid w:val="00C53D6C"/>
    <w:rsid w:val="00C702AC"/>
    <w:rsid w:val="00C7446A"/>
    <w:rsid w:val="00CE2432"/>
    <w:rsid w:val="00CF3CB7"/>
    <w:rsid w:val="00D43246"/>
    <w:rsid w:val="00D5260E"/>
    <w:rsid w:val="00D97DE1"/>
    <w:rsid w:val="00DA703F"/>
    <w:rsid w:val="00DE69EC"/>
    <w:rsid w:val="00E559AB"/>
    <w:rsid w:val="00E80E1F"/>
    <w:rsid w:val="00E929AE"/>
    <w:rsid w:val="00EA102A"/>
    <w:rsid w:val="00EC5216"/>
    <w:rsid w:val="00ED53F2"/>
    <w:rsid w:val="00EE679A"/>
    <w:rsid w:val="00F024B4"/>
    <w:rsid w:val="00F1118F"/>
    <w:rsid w:val="00F31453"/>
    <w:rsid w:val="00F63FD4"/>
    <w:rsid w:val="00FA06B0"/>
    <w:rsid w:val="00FB24BB"/>
    <w:rsid w:val="00FD36CB"/>
    <w:rsid w:val="00FE0ECB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FAF2"/>
  <w15:chartTrackingRefBased/>
  <w15:docId w15:val="{4604FF64-6F2B-42CE-B39A-99A68707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7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7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70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7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70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70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70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70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70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70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70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70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702A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702A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702A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702A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702A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702A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70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7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7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7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7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702A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702A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702A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70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702A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702AC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semiHidden/>
    <w:rsid w:val="003951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ehatekstMrk">
    <w:name w:val="Kehatekst Märk"/>
    <w:basedOn w:val="Liguvaikefont"/>
    <w:link w:val="Kehatekst"/>
    <w:semiHidden/>
    <w:rsid w:val="0039511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Vihi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Vihi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Tulud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B0-4593-B31C-AF5E25E194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B0-4593-B31C-AF5E25E194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FB0-4593-B31C-AF5E25E194D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FB0-4593-B31C-AF5E25E194D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FB0-4593-B31C-AF5E25E194D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FB0-4593-B31C-AF5E25E194D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EFB0-4593-B31C-AF5E25E194D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EFB0-4593-B31C-AF5E25E194DE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EFB0-4593-B31C-AF5E25E194DE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EFB0-4593-B31C-AF5E25E194DE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EFB0-4593-B31C-AF5E25E194D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B0-4593-B31C-AF5E25E194D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Leht1!$C$3:$C$8</c:f>
              <c:strCache>
                <c:ptCount val="6"/>
                <c:pt idx="0">
                  <c:v>Üksikisiku tulumaks</c:v>
                </c:pt>
                <c:pt idx="1">
                  <c:v>Toetusfond</c:v>
                </c:pt>
                <c:pt idx="2">
                  <c:v>Tasandusfond</c:v>
                </c:pt>
                <c:pt idx="3">
                  <c:v>Kaupade ja teenuste müük</c:v>
                </c:pt>
                <c:pt idx="4">
                  <c:v>Maamaks </c:v>
                </c:pt>
                <c:pt idx="5">
                  <c:v>Muud tulud</c:v>
                </c:pt>
              </c:strCache>
            </c:strRef>
          </c:cat>
          <c:val>
            <c:numRef>
              <c:f>Leht1!$D$3:$D$8</c:f>
              <c:numCache>
                <c:formatCode>_-* #\ ##0\ _€_-;\-* #\ ##0\ _€_-;_-* "-"\ _€_-;_-@_-</c:formatCode>
                <c:ptCount val="6"/>
                <c:pt idx="0">
                  <c:v>6922240</c:v>
                </c:pt>
                <c:pt idx="1">
                  <c:v>2686956</c:v>
                </c:pt>
                <c:pt idx="2">
                  <c:v>1374664</c:v>
                </c:pt>
                <c:pt idx="3">
                  <c:v>750556</c:v>
                </c:pt>
                <c:pt idx="4">
                  <c:v>325000</c:v>
                </c:pt>
                <c:pt idx="5">
                  <c:v>22000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FB0-4593-B31C-AF5E25E194D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Kulude jaotus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DC-4628-8438-3464A8C4A2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DC-4628-8438-3464A8C4A2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CDC-4628-8438-3464A8C4A2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CDC-4628-8438-3464A8C4A2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CDC-4628-8438-3464A8C4A2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CDC-4628-8438-3464A8C4A27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CDC-4628-8438-3464A8C4A27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CDC-4628-8438-3464A8C4A275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DC-4628-8438-3464A8C4A27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DC-4628-8438-3464A8C4A27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DC-4628-8438-3464A8C4A27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CDC-4628-8438-3464A8C4A2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Leht1!$B$3:$B$10</c:f>
              <c:strCache>
                <c:ptCount val="8"/>
                <c:pt idx="0">
                  <c:v>Valitsussektori teenused</c:v>
                </c:pt>
                <c:pt idx="1">
                  <c:v>Avalik kord, julgeolek, tervishoid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Elamu-ja kommunaalmajandus</c:v>
                </c:pt>
                <c:pt idx="5">
                  <c:v>Kultuur ja vaba aeg</c:v>
                </c:pt>
                <c:pt idx="6">
                  <c:v>Haridus</c:v>
                </c:pt>
                <c:pt idx="7">
                  <c:v>Sotsiaalne kaitse</c:v>
                </c:pt>
              </c:strCache>
            </c:strRef>
          </c:cat>
          <c:val>
            <c:numRef>
              <c:f>Leht1!$C$3:$C$10</c:f>
              <c:numCache>
                <c:formatCode>_("€"* #,##0_);_("€"* \(#,##0\);_("€"* "-"_);_(@_)</c:formatCode>
                <c:ptCount val="8"/>
                <c:pt idx="0">
                  <c:v>1604898</c:v>
                </c:pt>
                <c:pt idx="1">
                  <c:v>36000</c:v>
                </c:pt>
                <c:pt idx="2">
                  <c:v>200680</c:v>
                </c:pt>
                <c:pt idx="3">
                  <c:v>369000</c:v>
                </c:pt>
                <c:pt idx="4">
                  <c:v>208000</c:v>
                </c:pt>
                <c:pt idx="5">
                  <c:v>1389782</c:v>
                </c:pt>
                <c:pt idx="6">
                  <c:v>5665624</c:v>
                </c:pt>
                <c:pt idx="7">
                  <c:v>1903956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CDC-4628-8438-3464A8C4A2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685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Hütt</dc:creator>
  <cp:keywords/>
  <dc:description/>
  <cp:lastModifiedBy>Ahti Hütt</cp:lastModifiedBy>
  <cp:revision>134</cp:revision>
  <dcterms:created xsi:type="dcterms:W3CDTF">2026-01-15T11:49:00Z</dcterms:created>
  <dcterms:modified xsi:type="dcterms:W3CDTF">2026-01-16T11:59:00Z</dcterms:modified>
</cp:coreProperties>
</file>